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SISTEMA DE CONTROLE INTERNO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SCI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INSTRUÇÕES NORMATIVAS SPO Nº 003/201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-1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Aprovação em: 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/0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/201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Versão: 001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Ato de Aprovação: IN SPO n°. 003/201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Unidade Responsável: Sistema de Planejamento e Orçamento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Unidades Envolvidas: Controladoria de Controle Interno, Planejamento 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Orçamento</w:t>
      </w:r>
      <w:proofErr w:type="gramEnd"/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Assunto do ato: LOA e Audiências Públicas</w:t>
      </w: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Dispõe sobre a produção de normas relativas às rotinas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trabalho e os procedimentos gerais para elaboração da Lei Orçamentária Anual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(LOA), inclusive da realização das audiências públicas.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 xml:space="preserve">A PREFEITA MUNICIPAL DE </w:t>
      </w:r>
      <w:r w:rsidRPr="00E6492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XXXX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, ESTADO D</w:t>
      </w:r>
      <w:r>
        <w:rPr>
          <w:rFonts w:ascii="Times New Roman" w:hAnsi="Times New Roman" w:cs="Times New Roman"/>
          <w:color w:val="000000"/>
          <w:sz w:val="26"/>
          <w:szCs w:val="26"/>
        </w:rPr>
        <w:t>A BAHIA,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 xml:space="preserve"> no uso das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atribuições que lhe são conferidas pela Lei Orgânica do Município, além da Lei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 xml:space="preserve">Municipal </w:t>
      </w:r>
      <w:r w:rsidRPr="00E6492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XXXX</w:t>
      </w:r>
      <w:proofErr w:type="gramStart"/>
      <w:r w:rsidRPr="00E649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  <w:r w:rsidRPr="00E64924">
        <w:rPr>
          <w:rFonts w:ascii="Times New Roman" w:hAnsi="Times New Roman" w:cs="Times New Roman"/>
          <w:color w:val="000000"/>
          <w:sz w:val="26"/>
          <w:szCs w:val="26"/>
        </w:rPr>
        <w:t>que institui o Sistema de Controle Interno (SCI), e cria 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Controladoria de Controle Interno (CCI) do Município e dá outras providencias,</w:t>
      </w: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CONSIDERANDO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a Constituição Federal de 1988 que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dispõe sobre a elaboração e prazos do PPA, LDO e LOA;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CONSIDERANDO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que cabe aos Sistemas de Controle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Interno Municipais, juntamente com o controle externo, exercido pelo Tribunal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Contas do Estado, auxiliar a respectiva Câmara Municipal na fiscalização 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cumprimento dos dispositivos legais, em especial aqueles previstos na Lei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Complementar nº 101/00 - a Lei de Responsabilidade Fiscal – LRF, que dispõe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sobre a transparência na elaboração e execução da gestão pública;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color w:val="000000"/>
          <w:sz w:val="26"/>
          <w:szCs w:val="26"/>
        </w:rPr>
        <w:t>RESOLVE: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1º Normatizar as ações dos agentes públicos na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elaboração da LOA, de modo a permitir a avaliação do cumprimento dos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objetivos e metas a serem demonstradas em audiências públicas.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2º O Poder Executivo deverá ficar ciente de suas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obrigações quanto à elaboração e aprovação do orçamento, conforme normas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estabelecidas nesta Instrução Normativa.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 PLANEJAMENTO DA LEI ORÇAMENTÁRIA ANUAL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(LOA)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DOS ESTUDOS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3º Estudos para validar a estimativa das receitas feita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por ocasião da elaboração da LDO.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4º Estudos para revisão e/ou atualização do valor dos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gastos com manutenção da máquina administrativa, bem como das prioridades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e metas da administração para o exercício seguinte, observando as fontes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receitas.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5º Classificação das despesas em nível institucional,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funcional programática e categoria econômica, fixando às dotações por grupo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de natureza de despesa/modalidade de aplicação, observadas as normas 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Manual da Despesa Nacional, editado pela Secretaria do Tesouro Nacional 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suas alterações posteriores.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6º Elaboração dos anexos, adendos e demonstrativos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de receitas e despesas previstos na Lei 4.320/64, Lei Complementar no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101/2000 e alterações posteriores.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 AUDIÊNCIA PÚBLICA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7º A audiência pública no processo de elaboração da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LOA será agendada e convocada pelo executivo municipal, encarregado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preparar os dados e informações necessárias para o debate popular.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8º A audiência pública para elaboração e discussão da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lei orçamentária anual conforme dispõe a Lei Federal (LRF) no 101/2000, no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seu capítulo IX, Art. 48, § único, será realizada antes e/ou após o envio 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projeto de Lei pelo Executivo ao Legislativo, a critério da administração.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9º A audiência pública será objeto de registro em livro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próprio da lista de presença e das decisões ali tomadas.</w:t>
      </w: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ESTUDO DAS ESTIMATIVAS DA RECEITA, </w:t>
      </w:r>
      <w:proofErr w:type="gramStart"/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INCLUSIVE</w:t>
      </w:r>
      <w:proofErr w:type="gramEnd"/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 RECEITA CORRENTE LÍQUIDA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15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10º Disponibilização desses estudos ao Poder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Legislativo, com as respectivas memórias de cálculo, até 30 dias antes da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remessa da sua proposta orçamentária ao Poder Executivo, para consolidar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junto ao Orçamento do Município. Art. 12, § 3o da LRF</w:t>
      </w:r>
      <w:r w:rsidRPr="00E64924">
        <w:rPr>
          <w:rFonts w:ascii="Times New Roman" w:hAnsi="Times New Roman" w:cs="Times New Roman"/>
          <w:color w:val="00B150"/>
          <w:sz w:val="26"/>
          <w:szCs w:val="26"/>
        </w:rPr>
        <w:t>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15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 ELABORAÇÃO DO PROJETO DE LEI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11º Elaboração do texto do projeto de Lei Orçamentária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Anual dispondo sobre a estimativa da receita e fixação da despesa das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diversas unidades gestoras, identificando o volume de recursos destinados aos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orçamentos: fiscal, seguridade social, e de investimentos, contemplando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 xml:space="preserve">autorização para abertura de créditos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lastRenderedPageBreak/>
        <w:t>adicionais suplementares por conta dos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recursos previstos no Art. 165, III, § 5º e 8º da CF, Art. 43 da Lei 4.320/64.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12º Elaboração da mensagem e ofício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encaminhamento da proposta orçamentária à Câmara Municipal na forma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estabelecida na LDO. Art. 22, I da Lei 4.320/64.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Parágrafo único: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A apreciação e votação no Legislativo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estão apresentadas no artigo 19º, 20º, 21º, 22º, 23º e 24º.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DESDOBRAMENTO DA RECEITA PREVISTA EM METAS</w:t>
      </w: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BIMESTRAIS DE ARRECADAÇÃO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13º Elaboração de demonstrativo do desdobramento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da receita prevista de cada uma das unidad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es gestoras em metas bimestrais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de arrecadação, no prazo de até 30 (Trinta) dias após a sanção da lei 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orçamento anual, Art. 13 da LRF.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14º Encaminhamento ao TCE, conforme agenda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obrigações.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ELABORAÇÃO DA PROGRAMAÇÃO FINANCEIRA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15º Elaboração da programação financeira para cada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uma das unidades gestoras, no prazo de até 30 (Trinta) dias após a sanção da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lei do orçamento anual.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ELABORAÇÃO DO CRONOGRAMA DE EXECUÇÃO</w:t>
      </w: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MENSAL DE DESEMBOLSO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16º Elaboração do cronograma de execução mensal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desembolso de cada uma das unidades gestoras, no prazo no prazo de até 30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(Trinta) dias após a sanção da lei do orçamento anual.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 APRECIAÇÃO E VOTAÇÃO NO LEGISLATIVO DA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LOA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19º O trâmite na Câmara Municipal será o mesmo para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o PPA, LDO e LOA.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20º Ao receber o ofício de encaminhamento 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Executivo, o mesmo será colocado na pauta para a próxima sessão, onde será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lida e despachada para a Comissão de Justiça, Redação, Finanças 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Orçamento.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21º A Comissão terá a partir do recebimento, 30 (trinta)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dias para análise da matéria e realização da audiência pública para discussão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do projeto.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Parágrafo único: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Todo projeto de lei que é apresentado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para a Comissão, esta solicitará parecer sobre a matéria para a assessoria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jurídica.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lastRenderedPageBreak/>
        <w:t>Art. 22º Após análise da Comissão, esta expede seu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parecer, que poderá ser tanto favorável quanto desfavorável. É apresentado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para discussão e primeira votação, em pauta única na próxima sessão.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23º Será apresentado novamente para discussão 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segunda votação em pauta normal na sessão seguinte.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24º Sendo este aprovado, o mesmo é devolvido ao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Executivo para ser sancionado.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 PROJETO DE EMENDAS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25º O projeto de emendas poderá ser apresentado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pelos vereadores, conforme dispõe no Regimento Interno da Câmara Municipal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de Pesqueira.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26º A partir do protocolo da emenda, o projeto para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correr e a comissão tem 15 (quinze) dias para análise da mesma.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27º A comissão emitindo o parecer, tanto favorável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quanto desfavorável, esta entra em primeira votação na próxima sessão. Após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esta sessão, haverá um interstício de 15 (quinze) dias para que seja colocada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para a segunda votação.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28º Se aprovado, o presidente da Câmara promulga 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emenda e a mesma é encaminhada para o Executivo fazer as devidas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alterações.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29º Após a devolução do Executivo com as alterações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referentes às emendas, o projeto volta a seguir o disposto no artigo 13º.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APÓS A VOTAÇÃO NO LEGISLATIVO DA LOA</w:t>
      </w: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30º Após a aprovação pelo Poder Legislativo 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Unidade Central de Planejamento deverá preparar a sanção e publicação da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LOA.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31º Distribuir a lei da LOA sancionada para todas 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unidades da estrutura organizacional;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32º Encaminhar tempestivamente o processo físico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para o TCE-PE, de acordo com as regras estabelecidas no Manual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Orientação para envio de Documentos ao TCE-PE e quando houver e se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necessário, observando-se, o layout do sistema de captura de informações 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dados do TCE-PE;</w:t>
      </w: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DAS CONSIDERAÇÕES FINAIS</w:t>
      </w: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33º Os esclarecimentos adicionais a respeito desta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instrução poderão ser obtidos junto à Controladoria de Controle Interno que,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 xml:space="preserve">por sua vez, através de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lastRenderedPageBreak/>
        <w:t>procedimentos de auditoria interna, aferirá a fiel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observância de seus dispositivos por parte das diversas unidades da estrutura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organizacional.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Art. 34º Esta instrução entra em vigor a partir da data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sua publicação.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</w:rPr>
        <w:t>Publique-se, registre-se, cumpra-se.</w:t>
      </w: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XXXX</w:t>
      </w:r>
      <w:r>
        <w:rPr>
          <w:rFonts w:ascii="Times New Roman" w:hAnsi="Times New Roman" w:cs="Times New Roman"/>
          <w:color w:val="000000"/>
          <w:sz w:val="26"/>
          <w:szCs w:val="26"/>
        </w:rPr>
        <w:t>, 08 de setembro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 xml:space="preserve"> de 201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E6492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Default="00E64924" w:rsidP="00E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</w:t>
      </w:r>
    </w:p>
    <w:p w:rsidR="00E64924" w:rsidRPr="00E64924" w:rsidRDefault="00E64924" w:rsidP="00E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4924">
        <w:rPr>
          <w:rFonts w:ascii="Times New Roman" w:hAnsi="Times New Roman" w:cs="Times New Roman"/>
          <w:b/>
          <w:color w:val="000000"/>
          <w:sz w:val="26"/>
          <w:szCs w:val="26"/>
        </w:rPr>
        <w:t>Prefeito</w:t>
      </w:r>
      <w:bookmarkStart w:id="0" w:name="_GoBack"/>
      <w:bookmarkEnd w:id="0"/>
    </w:p>
    <w:sectPr w:rsidR="00E64924" w:rsidRPr="00E64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FA"/>
    <w:rsid w:val="00C32AB8"/>
    <w:rsid w:val="00DC16FA"/>
    <w:rsid w:val="00E6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1236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Hugo Morais de Almeida</dc:creator>
  <cp:keywords/>
  <dc:description/>
  <cp:lastModifiedBy>Vitor Hugo Morais de Almeida</cp:lastModifiedBy>
  <cp:revision>3</cp:revision>
  <dcterms:created xsi:type="dcterms:W3CDTF">2015-08-28T12:11:00Z</dcterms:created>
  <dcterms:modified xsi:type="dcterms:W3CDTF">2015-08-28T12:23:00Z</dcterms:modified>
</cp:coreProperties>
</file>